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24" w:rsidRDefault="007F5955">
      <w:pPr>
        <w:spacing w:after="180"/>
        <w:jc w:val="center"/>
        <w:rPr>
          <w:rFonts w:ascii="Helvetica" w:eastAsia="Helvetica" w:hAnsi="Helvetica" w:cs="Helvetica"/>
          <w:sz w:val="18"/>
          <w:szCs w:val="18"/>
        </w:rPr>
      </w:pPr>
      <w:r>
        <w:rPr>
          <w:rFonts w:ascii="Arial" w:eastAsia="Arial" w:hAnsi="Arial" w:cs="Arial"/>
          <w:b/>
          <w:bCs/>
          <w:color w:val="D60D47"/>
        </w:rPr>
        <w:t>Folgen Sie uns auf Social Media - klicken Sie auf das Bild!</w:t>
      </w:r>
    </w:p>
    <w:p w:rsidR="00C64424" w:rsidRDefault="007F5955">
      <w:pPr>
        <w:spacing w:before="180" w:after="180"/>
        <w:jc w:val="center"/>
        <w:rPr>
          <w:rFonts w:ascii="Helvetica" w:eastAsia="Helvetica" w:hAnsi="Helvetica" w:cs="Helvetica"/>
          <w:sz w:val="18"/>
          <w:szCs w:val="18"/>
        </w:rPr>
      </w:pPr>
      <w:hyperlink r:id="rId5" w:tgtFrame="_blank" w:history="1">
        <w:r>
          <w:rPr>
            <w:rFonts w:ascii="Arial" w:eastAsia="Arial" w:hAnsi="Arial" w:cs="Arial"/>
            <w:b/>
            <w:bCs/>
            <w:noProof/>
            <w:color w:val="0000EE"/>
          </w:rPr>
          <w:drawing>
            <wp:inline distT="0" distB="0" distL="0" distR="0">
              <wp:extent cx="5486400" cy="2196398"/>
              <wp:effectExtent l="0" t="0" r="0" b="0"/>
              <wp:docPr id="100000" name="Grafik 10000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00" name=""/>
                      <pic:cNvPicPr/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21963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:rsidR="00C64424" w:rsidRDefault="007F5955">
      <w:pPr>
        <w:spacing w:before="180" w:after="180"/>
        <w:jc w:val="center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b/>
          <w:bCs/>
          <w:color w:val="D60D47"/>
        </w:rPr>
        <w:t xml:space="preserve">- </w:t>
      </w:r>
      <w:r>
        <w:rPr>
          <w:rFonts w:ascii="Helvetica" w:eastAsia="Helvetica" w:hAnsi="Helvetica" w:cs="Helvetica"/>
          <w:color w:val="D60D47"/>
        </w:rPr>
        <w:t>Ganz</w:t>
      </w:r>
      <w:r>
        <w:rPr>
          <w:rFonts w:ascii="Helvetica" w:eastAsia="Helvetica" w:hAnsi="Helvetica" w:cs="Helvetica"/>
          <w:b/>
          <w:bCs/>
          <w:color w:val="D60D47"/>
        </w:rPr>
        <w:t xml:space="preserve"> modern - </w:t>
      </w:r>
      <w:r>
        <w:rPr>
          <w:rFonts w:ascii="Helvetica" w:eastAsia="Helvetica" w:hAnsi="Helvetica" w:cs="Helvetica"/>
          <w:color w:val="D60D47"/>
        </w:rPr>
        <w:t>Ganz</w:t>
      </w:r>
      <w:r>
        <w:rPr>
          <w:rFonts w:ascii="Helvetica" w:eastAsia="Helvetica" w:hAnsi="Helvetica" w:cs="Helvetica"/>
          <w:b/>
          <w:bCs/>
          <w:color w:val="D60D47"/>
        </w:rPr>
        <w:t xml:space="preserve"> dynamisch - </w:t>
      </w:r>
      <w:r>
        <w:rPr>
          <w:rFonts w:ascii="Helvetica" w:eastAsia="Helvetica" w:hAnsi="Helvetica" w:cs="Helvetica"/>
          <w:color w:val="D60D47"/>
        </w:rPr>
        <w:t>Ganz</w:t>
      </w:r>
      <w:r>
        <w:rPr>
          <w:rFonts w:ascii="Helvetica" w:eastAsia="Helvetica" w:hAnsi="Helvetica" w:cs="Helvetica"/>
          <w:b/>
          <w:bCs/>
          <w:color w:val="D60D47"/>
        </w:rPr>
        <w:t xml:space="preserve"> zukunftsorientiert -</w:t>
      </w:r>
    </w:p>
    <w:p w:rsidR="00C64424" w:rsidRDefault="00C64424">
      <w:pPr>
        <w:spacing w:before="180" w:after="180"/>
        <w:jc w:val="center"/>
        <w:rPr>
          <w:rFonts w:ascii="Helvetica" w:eastAsia="Helvetica" w:hAnsi="Helvetica" w:cs="Helvetica"/>
          <w:sz w:val="18"/>
          <w:szCs w:val="18"/>
        </w:rPr>
      </w:pPr>
    </w:p>
    <w:p w:rsidR="00C64424" w:rsidRDefault="007F5955">
      <w:pPr>
        <w:spacing w:before="180" w:after="180"/>
        <w:jc w:val="center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22"/>
          <w:szCs w:val="22"/>
        </w:rPr>
        <w:t xml:space="preserve">Eine Stadt mit </w:t>
      </w:r>
      <w:r>
        <w:rPr>
          <w:rFonts w:ascii="Helvetica" w:eastAsia="Helvetica" w:hAnsi="Helvetica" w:cs="Helvetica"/>
          <w:b/>
          <w:bCs/>
          <w:color w:val="D60D47"/>
        </w:rPr>
        <w:t>Charisma</w:t>
      </w:r>
      <w:r>
        <w:rPr>
          <w:rFonts w:ascii="Helvetica" w:eastAsia="Helvetica" w:hAnsi="Helvetica" w:cs="Helvetica"/>
        </w:rPr>
        <w:t xml:space="preserve"> </w:t>
      </w:r>
      <w:r>
        <w:rPr>
          <w:rFonts w:ascii="Helvetica" w:eastAsia="Helvetica" w:hAnsi="Helvetica" w:cs="Helvetica"/>
          <w:sz w:val="22"/>
          <w:szCs w:val="22"/>
        </w:rPr>
        <w:t xml:space="preserve">- traditionell und modern, besinnlich und </w:t>
      </w:r>
      <w:r>
        <w:rPr>
          <w:rFonts w:ascii="Helvetica" w:eastAsia="Helvetica" w:hAnsi="Helvetica" w:cs="Helvetica"/>
          <w:sz w:val="22"/>
          <w:szCs w:val="22"/>
        </w:rPr>
        <w:t>aufregend, ruhig und bewegend!</w:t>
      </w:r>
    </w:p>
    <w:p w:rsidR="00C64424" w:rsidRDefault="007F5955">
      <w:pPr>
        <w:spacing w:before="180" w:after="180"/>
        <w:jc w:val="center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22"/>
          <w:szCs w:val="22"/>
        </w:rPr>
        <w:t xml:space="preserve">Die Stadt Halberstadt ist ein wichtiger Wirtschaftsstandort im </w:t>
      </w:r>
      <w:proofErr w:type="spellStart"/>
      <w:r>
        <w:rPr>
          <w:rFonts w:ascii="Helvetica" w:eastAsia="Helvetica" w:hAnsi="Helvetica" w:cs="Helvetica"/>
          <w:sz w:val="22"/>
          <w:szCs w:val="22"/>
        </w:rPr>
        <w:t>Nordharz</w:t>
      </w:r>
      <w:proofErr w:type="spellEnd"/>
      <w:r>
        <w:rPr>
          <w:rFonts w:ascii="Helvetica" w:eastAsia="Helvetica" w:hAnsi="Helvetica" w:cs="Helvetica"/>
          <w:sz w:val="22"/>
          <w:szCs w:val="22"/>
        </w:rPr>
        <w:t xml:space="preserve"> und </w:t>
      </w:r>
      <w:r>
        <w:rPr>
          <w:rFonts w:ascii="Helvetica" w:eastAsia="Helvetica" w:hAnsi="Helvetica" w:cs="Helvetica"/>
          <w:b/>
          <w:bCs/>
          <w:color w:val="D60D47"/>
        </w:rPr>
        <w:t xml:space="preserve">Kreisstadt </w:t>
      </w:r>
      <w:r>
        <w:rPr>
          <w:rFonts w:ascii="Helvetica" w:eastAsia="Helvetica" w:hAnsi="Helvetica" w:cs="Helvetica"/>
          <w:sz w:val="22"/>
          <w:szCs w:val="22"/>
        </w:rPr>
        <w:t>des Harzkreises. Sie bietet Kultur und Geschichte zum Anfassen, Naherholungsgebiete zum Relaxen, eine Vielzahl von Sport- und Freizeitange</w:t>
      </w:r>
      <w:r>
        <w:rPr>
          <w:rFonts w:ascii="Helvetica" w:eastAsia="Helvetica" w:hAnsi="Helvetica" w:cs="Helvetica"/>
          <w:sz w:val="22"/>
          <w:szCs w:val="22"/>
        </w:rPr>
        <w:t>boten zum Auspowern sowie vielfältige Restaurants zum Genießen.</w:t>
      </w:r>
    </w:p>
    <w:p w:rsidR="00C64424" w:rsidRDefault="007F5955">
      <w:pPr>
        <w:spacing w:before="180" w:after="180"/>
        <w:jc w:val="center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22"/>
          <w:szCs w:val="22"/>
        </w:rPr>
        <w:t>Eine modern ausgebaute</w:t>
      </w:r>
      <w:r>
        <w:rPr>
          <w:rFonts w:ascii="Helvetica" w:eastAsia="Helvetica" w:hAnsi="Helvetica" w:cs="Helvetica"/>
        </w:rPr>
        <w:t xml:space="preserve"> </w:t>
      </w:r>
      <w:r>
        <w:rPr>
          <w:rFonts w:ascii="Helvetica" w:eastAsia="Helvetica" w:hAnsi="Helvetica" w:cs="Helvetica"/>
          <w:b/>
          <w:bCs/>
          <w:color w:val="D60D47"/>
        </w:rPr>
        <w:t>Infrastruktur</w:t>
      </w:r>
      <w:r>
        <w:rPr>
          <w:rFonts w:ascii="Helvetica" w:eastAsia="Helvetica" w:hAnsi="Helvetica" w:cs="Helvetica"/>
          <w:sz w:val="22"/>
          <w:szCs w:val="22"/>
        </w:rPr>
        <w:t xml:space="preserve"> mit einer großen Anzahl an Schulen, Bildungs- und Kindereinrichtungen stehen für eine zukunftsorientierte Kreisstadt. In einer Stadt mit über </w:t>
      </w:r>
      <w:r>
        <w:rPr>
          <w:rFonts w:ascii="Helvetica" w:eastAsia="Helvetica" w:hAnsi="Helvetica" w:cs="Helvetica"/>
          <w:b/>
          <w:bCs/>
          <w:color w:val="D60D47"/>
        </w:rPr>
        <w:t>40.000 Einwoh</w:t>
      </w:r>
      <w:r>
        <w:rPr>
          <w:rFonts w:ascii="Helvetica" w:eastAsia="Helvetica" w:hAnsi="Helvetica" w:cs="Helvetica"/>
          <w:b/>
          <w:bCs/>
          <w:color w:val="D60D47"/>
        </w:rPr>
        <w:t>nern</w:t>
      </w:r>
      <w:r>
        <w:rPr>
          <w:rFonts w:ascii="Helvetica" w:eastAsia="Helvetica" w:hAnsi="Helvetica" w:cs="Helvetica"/>
          <w:sz w:val="22"/>
          <w:szCs w:val="22"/>
        </w:rPr>
        <w:t xml:space="preserve"> sorgen rund 500 engagierte Mitarbeiter bereits heute für einen reibungslosen Ablauf: ob in der Verwaltung, in der Feuerwehr, in der Verkehrsplanung, in den Schulen und Kitas sowie in vielen weiteren Einsatzfeldern.</w:t>
      </w:r>
    </w:p>
    <w:p w:rsidR="00C64424" w:rsidRDefault="007F5955">
      <w:pPr>
        <w:spacing w:before="180" w:after="180"/>
        <w:jc w:val="center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sz w:val="22"/>
          <w:szCs w:val="22"/>
        </w:rPr>
        <w:t xml:space="preserve">Werden auch Sie ein Teil im </w:t>
      </w:r>
      <w:r>
        <w:rPr>
          <w:rFonts w:ascii="Helvetica" w:eastAsia="Helvetica" w:hAnsi="Helvetica" w:cs="Helvetica"/>
          <w:b/>
          <w:bCs/>
          <w:color w:val="D60D47"/>
        </w:rPr>
        <w:t>#</w:t>
      </w:r>
      <w:proofErr w:type="spellStart"/>
      <w:r>
        <w:rPr>
          <w:rFonts w:ascii="Helvetica" w:eastAsia="Helvetica" w:hAnsi="Helvetica" w:cs="Helvetica"/>
          <w:b/>
          <w:bCs/>
          <w:color w:val="D60D47"/>
        </w:rPr>
        <w:t>TeamSta</w:t>
      </w:r>
      <w:r>
        <w:rPr>
          <w:rFonts w:ascii="Helvetica" w:eastAsia="Helvetica" w:hAnsi="Helvetica" w:cs="Helvetica"/>
          <w:b/>
          <w:bCs/>
          <w:color w:val="D60D47"/>
        </w:rPr>
        <w:t>dtHalberstadt</w:t>
      </w:r>
      <w:proofErr w:type="spellEnd"/>
      <w:r>
        <w:rPr>
          <w:rFonts w:ascii="Helvetica" w:eastAsia="Helvetica" w:hAnsi="Helvetica" w:cs="Helvetica"/>
          <w:b/>
          <w:bCs/>
          <w:color w:val="332358"/>
          <w:sz w:val="22"/>
          <w:szCs w:val="22"/>
        </w:rPr>
        <w:t xml:space="preserve"> </w:t>
      </w:r>
      <w:r>
        <w:rPr>
          <w:rFonts w:ascii="Helvetica" w:eastAsia="Helvetica" w:hAnsi="Helvetica" w:cs="Helvetica"/>
          <w:color w:val="000000"/>
          <w:sz w:val="22"/>
          <w:szCs w:val="22"/>
        </w:rPr>
        <w:t>- gestalten Sie unsere Kreisstadt mit als:</w:t>
      </w:r>
    </w:p>
    <w:p w:rsidR="00C64424" w:rsidRDefault="007F5955">
      <w:pPr>
        <w:spacing w:before="180" w:after="180"/>
        <w:jc w:val="center"/>
        <w:rPr>
          <w:rFonts w:ascii="Helvetica" w:eastAsia="Helvetica" w:hAnsi="Helvetica" w:cs="Helvetica"/>
          <w:sz w:val="18"/>
          <w:szCs w:val="18"/>
        </w:rPr>
      </w:pPr>
      <w:r>
        <w:rPr>
          <w:rFonts w:ascii="Arial" w:eastAsia="Arial" w:hAnsi="Arial" w:cs="Arial"/>
          <w:b/>
          <w:bCs/>
          <w:color w:val="D60D47"/>
          <w:sz w:val="34"/>
          <w:szCs w:val="34"/>
        </w:rPr>
        <w:t>Mitarbeiter Sammlung Museum</w:t>
      </w: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1026"/>
        <w:gridCol w:w="1870"/>
        <w:gridCol w:w="1198"/>
        <w:gridCol w:w="1552"/>
        <w:gridCol w:w="1207"/>
      </w:tblGrid>
      <w:tr w:rsidR="00C64424">
        <w:trPr>
          <w:trHeight w:val="1290"/>
          <w:tblCellSpacing w:w="15" w:type="dxa"/>
        </w:trPr>
        <w:tc>
          <w:tcPr>
            <w:tcW w:w="8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424" w:rsidRDefault="007F5955">
            <w:pPr>
              <w:jc w:val="center"/>
              <w:rPr>
                <w:rFonts w:ascii="Helvetica" w:eastAsia="Helvetica" w:hAnsi="Helvetica" w:cs="Helvetica"/>
                <w:color w:val="000000"/>
              </w:rPr>
            </w:pPr>
            <w:r>
              <w:rPr>
                <w:rFonts w:ascii="Helvetica" w:eastAsia="Helvetica" w:hAnsi="Helvetica" w:cs="Helvetica"/>
                <w:b/>
                <w:bCs/>
                <w:noProof/>
                <w:color w:val="000000"/>
              </w:rPr>
              <w:drawing>
                <wp:inline distT="0" distB="0" distL="0" distR="0">
                  <wp:extent cx="495300" cy="495300"/>
                  <wp:effectExtent l="0" t="0" r="0" b="0"/>
                  <wp:docPr id="100001" name="Grafik 100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4424" w:rsidRDefault="00C64424">
            <w:pPr>
              <w:spacing w:before="240"/>
              <w:jc w:val="center"/>
              <w:rPr>
                <w:rFonts w:ascii="Helvetica" w:eastAsia="Helvetica" w:hAnsi="Helvetica" w:cs="Helvetica"/>
                <w:b/>
                <w:bCs/>
                <w:color w:val="000000"/>
              </w:rPr>
            </w:pPr>
          </w:p>
        </w:tc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424" w:rsidRDefault="007F5955">
            <w:pPr>
              <w:jc w:val="center"/>
              <w:rPr>
                <w:rFonts w:ascii="Helvetica" w:eastAsia="Helvetica" w:hAnsi="Helvetica" w:cs="Helvetica"/>
                <w:color w:val="000000"/>
              </w:rPr>
            </w:pPr>
            <w:r>
              <w:rPr>
                <w:rFonts w:ascii="Helvetica" w:eastAsia="Helvetica" w:hAnsi="Helvetica" w:cs="Helvetica"/>
                <w:noProof/>
                <w:color w:val="000000"/>
              </w:rPr>
              <w:drawing>
                <wp:inline distT="0" distB="0" distL="0" distR="0">
                  <wp:extent cx="561975" cy="504825"/>
                  <wp:effectExtent l="0" t="0" r="0" b="0"/>
                  <wp:docPr id="100002" name="Grafik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424" w:rsidRDefault="007F5955">
            <w:pPr>
              <w:jc w:val="center"/>
              <w:rPr>
                <w:rFonts w:ascii="Helvetica" w:eastAsia="Helvetica" w:hAnsi="Helvetica" w:cs="Helvetica"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414141"/>
                <w:sz w:val="18"/>
                <w:szCs w:val="18"/>
                <w:shd w:val="clear" w:color="auto" w:fill="FFFFFF"/>
              </w:rPr>
              <w:drawing>
                <wp:inline distT="0" distB="0" distL="0" distR="0">
                  <wp:extent cx="514350" cy="523875"/>
                  <wp:effectExtent l="0" t="0" r="0" b="0"/>
                  <wp:docPr id="100003" name="Grafik 1000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424" w:rsidRDefault="007F5955">
            <w:pPr>
              <w:rPr>
                <w:rFonts w:ascii="Helvetica" w:eastAsia="Helvetica" w:hAnsi="Helvetica" w:cs="Helvetica"/>
                <w:color w:val="000000"/>
              </w:rPr>
            </w:pPr>
            <w:r>
              <w:rPr>
                <w:rFonts w:ascii="Helvetica" w:eastAsia="Helvetica" w:hAnsi="Helvetica" w:cs="Helvetica"/>
                <w:noProof/>
                <w:color w:val="000000"/>
              </w:rPr>
              <w:drawing>
                <wp:inline distT="0" distB="0" distL="0" distR="0">
                  <wp:extent cx="657225" cy="542925"/>
                  <wp:effectExtent l="0" t="0" r="0" b="0"/>
                  <wp:docPr id="100004" name="Grafik 100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424" w:rsidRDefault="007F5955">
            <w:pPr>
              <w:rPr>
                <w:rFonts w:ascii="Helvetica" w:eastAsia="Helvetica" w:hAnsi="Helvetica" w:cs="Helvetica"/>
                <w:color w:val="000000"/>
              </w:rPr>
            </w:pPr>
            <w:r>
              <w:rPr>
                <w:rFonts w:ascii="Helvetica" w:eastAsia="Helvetica" w:hAnsi="Helvetica" w:cs="Helvetica"/>
                <w:noProof/>
                <w:color w:val="000000"/>
              </w:rPr>
              <w:drawing>
                <wp:inline distT="0" distB="0" distL="0" distR="0">
                  <wp:extent cx="657225" cy="666750"/>
                  <wp:effectExtent l="0" t="0" r="0" b="0"/>
                  <wp:docPr id="100005" name="Grafik 100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424" w:rsidRDefault="007F5955">
            <w:pPr>
              <w:rPr>
                <w:rFonts w:ascii="Helvetica" w:eastAsia="Helvetica" w:hAnsi="Helvetica" w:cs="Helvetica"/>
                <w:color w:val="000000"/>
              </w:rPr>
            </w:pPr>
            <w:r>
              <w:rPr>
                <w:rFonts w:ascii="Helvetica" w:eastAsia="Helvetica" w:hAnsi="Helvetica" w:cs="Helvetica"/>
                <w:noProof/>
                <w:color w:val="000000"/>
              </w:rPr>
              <w:drawing>
                <wp:inline distT="0" distB="0" distL="0" distR="0">
                  <wp:extent cx="638175" cy="666750"/>
                  <wp:effectExtent l="0" t="0" r="0" b="0"/>
                  <wp:docPr id="100006" name="Grafik 100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424">
        <w:trPr>
          <w:trHeight w:val="1050"/>
          <w:tblCellSpacing w:w="15" w:type="dxa"/>
        </w:trPr>
        <w:tc>
          <w:tcPr>
            <w:tcW w:w="8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424" w:rsidRDefault="007F5955">
            <w:pPr>
              <w:jc w:val="center"/>
              <w:rPr>
                <w:rFonts w:ascii="Helvetica" w:eastAsia="Helvetica" w:hAnsi="Helvetica" w:cs="Helvetica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D60D47"/>
                <w:sz w:val="22"/>
                <w:szCs w:val="22"/>
              </w:rPr>
              <w:t>Teilzeit: 35 Wochenstunden</w:t>
            </w:r>
          </w:p>
        </w:tc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424" w:rsidRDefault="007F5955">
            <w:pPr>
              <w:jc w:val="center"/>
              <w:rPr>
                <w:rFonts w:ascii="Helvetica" w:eastAsia="Helvetica" w:hAnsi="Helvetica" w:cs="Helvetica"/>
                <w:color w:val="000000"/>
              </w:rPr>
            </w:pPr>
            <w:r>
              <w:rPr>
                <w:rFonts w:ascii="Helvetica" w:eastAsia="Helvetica" w:hAnsi="Helvetica" w:cs="Helvetica"/>
                <w:b/>
                <w:bCs/>
                <w:color w:val="D60D47"/>
                <w:sz w:val="22"/>
                <w:szCs w:val="22"/>
              </w:rPr>
              <w:t xml:space="preserve">befristet auf mind. ein Jahr gem. § 14 Abs. 1 </w:t>
            </w:r>
            <w:proofErr w:type="spellStart"/>
            <w:r>
              <w:rPr>
                <w:rFonts w:ascii="Helvetica" w:eastAsia="Helvetica" w:hAnsi="Helvetica" w:cs="Helvetica"/>
                <w:b/>
                <w:bCs/>
                <w:color w:val="D60D47"/>
                <w:sz w:val="22"/>
                <w:szCs w:val="22"/>
              </w:rPr>
              <w:t>TzBfG</w:t>
            </w:r>
            <w:proofErr w:type="spellEnd"/>
            <w:r>
              <w:rPr>
                <w:rFonts w:ascii="Helvetica" w:eastAsia="Helvetica" w:hAnsi="Helvetica" w:cs="Helvetica"/>
                <w:b/>
                <w:bCs/>
                <w:color w:val="D60D47"/>
                <w:sz w:val="22"/>
                <w:szCs w:val="22"/>
              </w:rPr>
              <w:t xml:space="preserve"> </w:t>
            </w:r>
          </w:p>
        </w:tc>
        <w:tc>
          <w:tcPr>
            <w:tcW w:w="9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424" w:rsidRDefault="007F5955">
            <w:pPr>
              <w:jc w:val="center"/>
              <w:rPr>
                <w:rFonts w:ascii="Helvetica" w:eastAsia="Helvetica" w:hAnsi="Helvetica" w:cs="Helvetica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D60D47"/>
                <w:sz w:val="22"/>
                <w:szCs w:val="22"/>
              </w:rPr>
              <w:t xml:space="preserve">Bewerbungsfrist: </w:t>
            </w:r>
            <w:r>
              <w:rPr>
                <w:rFonts w:ascii="Arial" w:eastAsia="Arial" w:hAnsi="Arial" w:cs="Arial"/>
                <w:b/>
                <w:bCs/>
                <w:color w:val="D60D47"/>
                <w:sz w:val="22"/>
                <w:szCs w:val="22"/>
              </w:rPr>
              <w:br/>
              <w:t>09.06.2026</w:t>
            </w:r>
          </w:p>
          <w:p w:rsidR="00C64424" w:rsidRDefault="00C64424">
            <w:pPr>
              <w:spacing w:before="240"/>
              <w:jc w:val="center"/>
              <w:rPr>
                <w:rFonts w:ascii="Helvetica" w:eastAsia="Helvetica" w:hAnsi="Helvetica" w:cs="Helvetica"/>
                <w:color w:val="000000"/>
              </w:rPr>
            </w:pPr>
          </w:p>
        </w:tc>
        <w:tc>
          <w:tcPr>
            <w:tcW w:w="8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424" w:rsidRDefault="007F5955">
            <w:pPr>
              <w:jc w:val="center"/>
              <w:rPr>
                <w:rFonts w:ascii="Helvetica" w:eastAsia="Helvetica" w:hAnsi="Helvetica" w:cs="Helvetica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D60D47"/>
                <w:sz w:val="22"/>
                <w:szCs w:val="22"/>
              </w:rPr>
              <w:t>E 09 b TVöD*</w:t>
            </w:r>
          </w:p>
          <w:p w:rsidR="00C64424" w:rsidRDefault="00C64424">
            <w:pPr>
              <w:rPr>
                <w:rFonts w:ascii="Helvetica" w:eastAsia="Helvetica" w:hAnsi="Helvetica" w:cs="Helvetica"/>
                <w:color w:val="000000"/>
              </w:rPr>
            </w:pPr>
          </w:p>
        </w:tc>
        <w:tc>
          <w:tcPr>
            <w:tcW w:w="83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424" w:rsidRDefault="007F5955">
            <w:pPr>
              <w:jc w:val="center"/>
              <w:rPr>
                <w:rFonts w:ascii="Helvetica" w:eastAsia="Helvetica" w:hAnsi="Helvetica" w:cs="Helvetica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D60D47"/>
                <w:sz w:val="22"/>
                <w:szCs w:val="22"/>
              </w:rPr>
              <w:t>Start: baldmöglichst</w:t>
            </w:r>
          </w:p>
        </w:tc>
        <w:tc>
          <w:tcPr>
            <w:tcW w:w="83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424" w:rsidRDefault="007F5955">
            <w:pPr>
              <w:jc w:val="center"/>
              <w:rPr>
                <w:rFonts w:ascii="Helvetica" w:eastAsia="Helvetica" w:hAnsi="Helvetica" w:cs="Helvetica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D60D47"/>
                <w:sz w:val="22"/>
                <w:szCs w:val="22"/>
              </w:rPr>
              <w:t xml:space="preserve">Corporate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D60D47"/>
                <w:sz w:val="22"/>
                <w:szCs w:val="22"/>
              </w:rPr>
              <w:t>Benefits</w:t>
            </w:r>
            <w:proofErr w:type="spellEnd"/>
          </w:p>
        </w:tc>
      </w:tr>
    </w:tbl>
    <w:p w:rsidR="00C64424" w:rsidRDefault="00C64424">
      <w:pPr>
        <w:jc w:val="both"/>
        <w:rPr>
          <w:rFonts w:ascii="Helvetica" w:eastAsia="Helvetica" w:hAnsi="Helvetica" w:cs="Helvetica"/>
          <w:sz w:val="22"/>
          <w:szCs w:val="22"/>
        </w:rPr>
      </w:pPr>
    </w:p>
    <w:p w:rsidR="00C64424" w:rsidRDefault="007F5955">
      <w:pPr>
        <w:jc w:val="both"/>
        <w:rPr>
          <w:rFonts w:ascii="Helvetica" w:eastAsia="Helvetica" w:hAnsi="Helvetica" w:cs="Helvetica"/>
          <w:sz w:val="22"/>
          <w:szCs w:val="22"/>
        </w:rPr>
      </w:pPr>
      <w:r>
        <w:rPr>
          <w:rFonts w:ascii="Arial" w:eastAsia="Arial" w:hAnsi="Arial" w:cs="Arial"/>
          <w:b/>
          <w:bCs/>
          <w:color w:val="D60D47"/>
          <w:sz w:val="22"/>
          <w:szCs w:val="22"/>
          <w:u w:val="single"/>
        </w:rPr>
        <w:t>Diese Aufgaben erwarten Sie:</w:t>
      </w:r>
    </w:p>
    <w:p w:rsidR="00C64424" w:rsidRDefault="007F5955">
      <w:pPr>
        <w:numPr>
          <w:ilvl w:val="0"/>
          <w:numId w:val="1"/>
        </w:numPr>
        <w:spacing w:before="240"/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Sammlungsmanagement, insbesondere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C64424" w:rsidRDefault="007F5955">
      <w:pPr>
        <w:numPr>
          <w:ilvl w:val="1"/>
          <w:numId w:val="1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Lagerung, Betreuung, Pflege und Überwachung der Sammlungen im Bereich Papier sowie Foto- und Filmbestände</w:t>
      </w:r>
    </w:p>
    <w:p w:rsidR="00C64424" w:rsidRDefault="007F5955">
      <w:pPr>
        <w:numPr>
          <w:ilvl w:val="1"/>
          <w:numId w:val="1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Führung und Pflege der analogen und digitalen Sammlungsdokumentation</w:t>
      </w:r>
    </w:p>
    <w:p w:rsidR="00C64424" w:rsidRDefault="007F5955">
      <w:pPr>
        <w:numPr>
          <w:ilvl w:val="1"/>
          <w:numId w:val="1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Durchführung von Schutzdigitalisierungen inkl. fotografischer Aufnahme und Nachbearbeitung</w:t>
      </w:r>
    </w:p>
    <w:p w:rsidR="00C64424" w:rsidRDefault="007F5955">
      <w:pPr>
        <w:numPr>
          <w:ilvl w:val="1"/>
          <w:numId w:val="1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Erfassung und Pflege der Bestände in den Museumsdatenbanken</w:t>
      </w:r>
    </w:p>
    <w:p w:rsidR="00C64424" w:rsidRDefault="007F5955">
      <w:pPr>
        <w:numPr>
          <w:ilvl w:val="1"/>
          <w:numId w:val="1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Durchführung von </w:t>
      </w:r>
      <w:proofErr w:type="spellStart"/>
      <w:r>
        <w:rPr>
          <w:rFonts w:ascii="Arial" w:eastAsia="Arial" w:hAnsi="Arial" w:cs="Arial"/>
          <w:sz w:val="22"/>
          <w:szCs w:val="22"/>
        </w:rPr>
        <w:t>Provenienzrecherchen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und Dokumentation der Sammlungsobjekte</w:t>
      </w:r>
    </w:p>
    <w:p w:rsidR="00C64424" w:rsidRDefault="007F5955">
      <w:pPr>
        <w:numPr>
          <w:ilvl w:val="1"/>
          <w:numId w:val="1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Bearbeitung von Schenkungen </w:t>
      </w:r>
      <w:r>
        <w:rPr>
          <w:rFonts w:ascii="Arial" w:eastAsia="Arial" w:hAnsi="Arial" w:cs="Arial"/>
          <w:sz w:val="22"/>
          <w:szCs w:val="22"/>
        </w:rPr>
        <w:t>und Ankäufen inkl. Erstellung von Annahmebelegen</w:t>
      </w:r>
    </w:p>
    <w:p w:rsidR="00C64424" w:rsidRDefault="007F5955">
      <w:pPr>
        <w:numPr>
          <w:ilvl w:val="1"/>
          <w:numId w:val="1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Inventarisierung, Zuordnung zu Sammlungssachgruppen und Vergabe von Inventarnummern</w:t>
      </w:r>
    </w:p>
    <w:p w:rsidR="00C64424" w:rsidRDefault="007F5955">
      <w:pPr>
        <w:numPr>
          <w:ilvl w:val="1"/>
          <w:numId w:val="1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Mitarbeit an Ausstellungsvorhaben sowie Recherche zur Regional- und Stadtgeschichte</w:t>
      </w:r>
    </w:p>
    <w:p w:rsidR="00C64424" w:rsidRDefault="007F5955">
      <w:pPr>
        <w:numPr>
          <w:ilvl w:val="1"/>
          <w:numId w:val="1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Bearbeitung von Anfragen zu den Sammlun</w:t>
      </w:r>
      <w:r>
        <w:rPr>
          <w:rFonts w:ascii="Arial" w:eastAsia="Arial" w:hAnsi="Arial" w:cs="Arial"/>
          <w:sz w:val="22"/>
          <w:szCs w:val="22"/>
        </w:rPr>
        <w:t>gsbeständen</w:t>
      </w:r>
    </w:p>
    <w:p w:rsidR="00C64424" w:rsidRDefault="007F5955">
      <w:pPr>
        <w:numPr>
          <w:ilvl w:val="1"/>
          <w:numId w:val="1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Erteilung von schriftlichen und mündlichen Auskünften zu den Sammlungen</w:t>
      </w:r>
      <w:r>
        <w:rPr>
          <w:rFonts w:ascii="Arial" w:eastAsia="Arial" w:hAnsi="Arial" w:cs="Arial"/>
          <w:sz w:val="22"/>
          <w:szCs w:val="22"/>
        </w:rPr>
        <w:br/>
      </w:r>
    </w:p>
    <w:p w:rsidR="00C64424" w:rsidRDefault="007F5955">
      <w:pPr>
        <w:numPr>
          <w:ilvl w:val="0"/>
          <w:numId w:val="1"/>
        </w:numPr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Depotverwaltung, insbesondere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C64424" w:rsidRDefault="007F5955">
      <w:pPr>
        <w:numPr>
          <w:ilvl w:val="1"/>
          <w:numId w:val="2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Mitarbeit bei Ordnung und Sicherheit von Sammlungen und Exponaten im Magazin- und Ausstellungsbereich</w:t>
      </w:r>
    </w:p>
    <w:p w:rsidR="00C64424" w:rsidRDefault="007F5955">
      <w:pPr>
        <w:numPr>
          <w:ilvl w:val="1"/>
          <w:numId w:val="2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Pflege, Sicherung und Schutz von </w:t>
      </w:r>
      <w:r>
        <w:rPr>
          <w:rFonts w:ascii="Arial" w:eastAsia="Arial" w:hAnsi="Arial" w:cs="Arial"/>
          <w:sz w:val="22"/>
          <w:szCs w:val="22"/>
        </w:rPr>
        <w:t>Sammlungsobjekten einschließlich regelmäßiger Kontrollen</w:t>
      </w:r>
    </w:p>
    <w:p w:rsidR="00C64424" w:rsidRDefault="007F5955">
      <w:pPr>
        <w:numPr>
          <w:ilvl w:val="1"/>
          <w:numId w:val="2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Mitwirkung bei Zustandsbeurteilung von Sammlungsobjekten</w:t>
      </w:r>
    </w:p>
    <w:p w:rsidR="00C64424" w:rsidRDefault="007F5955">
      <w:pPr>
        <w:numPr>
          <w:ilvl w:val="1"/>
          <w:numId w:val="2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Überwachung, Kontrolle und Dokumentation des Raumklimas</w:t>
      </w:r>
    </w:p>
    <w:p w:rsidR="00C64424" w:rsidRDefault="007F5955">
      <w:pPr>
        <w:numPr>
          <w:ilvl w:val="1"/>
          <w:numId w:val="2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Technische Bearbeitung und Verpackung von Sammlungsgut für Lagerung und Transport</w:t>
      </w:r>
    </w:p>
    <w:p w:rsidR="00C64424" w:rsidRDefault="007F5955">
      <w:pPr>
        <w:numPr>
          <w:ilvl w:val="1"/>
          <w:numId w:val="2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</w:t>
      </w:r>
      <w:r>
        <w:rPr>
          <w:rFonts w:ascii="Arial" w:eastAsia="Arial" w:hAnsi="Arial" w:cs="Arial"/>
          <w:sz w:val="22"/>
          <w:szCs w:val="22"/>
        </w:rPr>
        <w:t>rolle von Sammlungsgut zur Bestandssicherung einschließlich Erfassung von Schäden</w:t>
      </w:r>
    </w:p>
    <w:p w:rsidR="00C64424" w:rsidRDefault="007F5955">
      <w:pPr>
        <w:numPr>
          <w:ilvl w:val="1"/>
          <w:numId w:val="2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Organisation von Restaurierungsmaßnahmen in Abstimmung mit der Museumsleitung</w:t>
      </w:r>
      <w:r>
        <w:rPr>
          <w:rFonts w:ascii="Arial" w:eastAsia="Arial" w:hAnsi="Arial" w:cs="Arial"/>
          <w:sz w:val="22"/>
          <w:szCs w:val="22"/>
        </w:rPr>
        <w:br/>
      </w:r>
    </w:p>
    <w:p w:rsidR="00C64424" w:rsidRDefault="007F5955">
      <w:pPr>
        <w:numPr>
          <w:ilvl w:val="0"/>
          <w:numId w:val="1"/>
        </w:numPr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Ausstellungen, Museumspädagogik und Öffentlichkeitsarbeit, insbesondere </w:t>
      </w:r>
    </w:p>
    <w:p w:rsidR="00C64424" w:rsidRDefault="007F5955">
      <w:pPr>
        <w:numPr>
          <w:ilvl w:val="1"/>
          <w:numId w:val="3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Mitarbeit an Ausstellu</w:t>
      </w:r>
      <w:r>
        <w:rPr>
          <w:rFonts w:ascii="Arial" w:eastAsia="Arial" w:hAnsi="Arial" w:cs="Arial"/>
          <w:sz w:val="22"/>
          <w:szCs w:val="22"/>
        </w:rPr>
        <w:t>ngs- und Museumskonzeptionen sowie Planung und Umsetzung von Ausstellungen</w:t>
      </w:r>
    </w:p>
    <w:p w:rsidR="00C64424" w:rsidRDefault="007F5955">
      <w:pPr>
        <w:numPr>
          <w:ilvl w:val="1"/>
          <w:numId w:val="3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Mitarbeit beim Auf-, Um- und Abbau von Ausstellungen</w:t>
      </w:r>
    </w:p>
    <w:p w:rsidR="00C64424" w:rsidRDefault="007F5955">
      <w:pPr>
        <w:numPr>
          <w:ilvl w:val="1"/>
          <w:numId w:val="3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Vorbereitung und Durchführung von Führungen und museumspädagogischen Angeboten</w:t>
      </w:r>
    </w:p>
    <w:p w:rsidR="00C64424" w:rsidRDefault="007F5955">
      <w:pPr>
        <w:numPr>
          <w:ilvl w:val="1"/>
          <w:numId w:val="3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Mitwirkung an Projekten der historischen Bildungs</w:t>
      </w:r>
      <w:r>
        <w:rPr>
          <w:rFonts w:ascii="Arial" w:eastAsia="Arial" w:hAnsi="Arial" w:cs="Arial"/>
          <w:sz w:val="22"/>
          <w:szCs w:val="22"/>
        </w:rPr>
        <w:t>arbeit</w:t>
      </w:r>
    </w:p>
    <w:p w:rsidR="00C64424" w:rsidRDefault="007F5955">
      <w:pPr>
        <w:numPr>
          <w:ilvl w:val="1"/>
          <w:numId w:val="3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Erstellung von Pressemitteilungen sowie Beiträgen für soziale Netzwerke</w:t>
      </w:r>
    </w:p>
    <w:p w:rsidR="00C64424" w:rsidRDefault="007F5955">
      <w:pPr>
        <w:numPr>
          <w:ilvl w:val="1"/>
          <w:numId w:val="3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Vorbereitung und Durchführung von Veranstaltungen und Tagungen</w:t>
      </w:r>
      <w:r>
        <w:rPr>
          <w:rFonts w:ascii="Arial" w:eastAsia="Arial" w:hAnsi="Arial" w:cs="Arial"/>
          <w:sz w:val="22"/>
          <w:szCs w:val="22"/>
        </w:rPr>
        <w:br/>
      </w:r>
    </w:p>
    <w:p w:rsidR="00C64424" w:rsidRDefault="007F5955">
      <w:pPr>
        <w:numPr>
          <w:ilvl w:val="0"/>
          <w:numId w:val="1"/>
        </w:numPr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Verwaltungsaufgaben, insbesondere </w:t>
      </w:r>
    </w:p>
    <w:p w:rsidR="00C64424" w:rsidRDefault="007F5955">
      <w:pPr>
        <w:numPr>
          <w:ilvl w:val="1"/>
          <w:numId w:val="4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Unterstützung der Museumsleitung bei verwaltungstechnischen Aufgaben sowie Pro</w:t>
      </w:r>
      <w:r>
        <w:rPr>
          <w:rFonts w:ascii="Arial" w:eastAsia="Arial" w:hAnsi="Arial" w:cs="Arial"/>
          <w:sz w:val="22"/>
          <w:szCs w:val="22"/>
        </w:rPr>
        <w:t>jekt- und Budgetplanung</w:t>
      </w:r>
    </w:p>
    <w:p w:rsidR="00C64424" w:rsidRDefault="007F5955">
      <w:pPr>
        <w:numPr>
          <w:ilvl w:val="1"/>
          <w:numId w:val="4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Vorbereitung und Überwachung von Leih- und Versicherungsangelegenheiten</w:t>
      </w:r>
    </w:p>
    <w:p w:rsidR="00C64424" w:rsidRDefault="007F5955">
      <w:pPr>
        <w:numPr>
          <w:ilvl w:val="1"/>
          <w:numId w:val="4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Bearbeitung von Benutzungs- und Veröffentlichungsgenehmigungen</w:t>
      </w:r>
    </w:p>
    <w:p w:rsidR="00C64424" w:rsidRDefault="007F5955">
      <w:pPr>
        <w:numPr>
          <w:ilvl w:val="1"/>
          <w:numId w:val="4"/>
        </w:numPr>
        <w:spacing w:after="240"/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Koordination der Fachanwendung AUGIAS sowie Einweisung des Personals</w:t>
      </w:r>
    </w:p>
    <w:p w:rsidR="00C64424" w:rsidRDefault="007F5955">
      <w:pPr>
        <w:jc w:val="both"/>
        <w:rPr>
          <w:rFonts w:ascii="Helvetica" w:eastAsia="Helvetica" w:hAnsi="Helvetica" w:cs="Helvetica"/>
          <w:sz w:val="22"/>
          <w:szCs w:val="22"/>
        </w:rPr>
      </w:pPr>
      <w:r>
        <w:rPr>
          <w:rFonts w:ascii="Arial" w:eastAsia="Arial" w:hAnsi="Arial" w:cs="Arial"/>
          <w:b/>
          <w:bCs/>
          <w:color w:val="D60D47"/>
          <w:sz w:val="22"/>
          <w:szCs w:val="22"/>
          <w:u w:val="single"/>
        </w:rPr>
        <w:t>Sie bringen mit:</w:t>
      </w:r>
    </w:p>
    <w:p w:rsidR="00C64424" w:rsidRDefault="007F5955">
      <w:pPr>
        <w:numPr>
          <w:ilvl w:val="0"/>
          <w:numId w:val="5"/>
        </w:numPr>
        <w:spacing w:before="180"/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Abgeschloss</w:t>
      </w:r>
      <w:r>
        <w:rPr>
          <w:rFonts w:ascii="Arial" w:eastAsia="Arial" w:hAnsi="Arial" w:cs="Arial"/>
          <w:sz w:val="22"/>
          <w:szCs w:val="22"/>
        </w:rPr>
        <w:t xml:space="preserve">enes grundständiges Studium der </w:t>
      </w:r>
      <w:proofErr w:type="spellStart"/>
      <w:r>
        <w:rPr>
          <w:rFonts w:ascii="Arial" w:eastAsia="Arial" w:hAnsi="Arial" w:cs="Arial"/>
          <w:sz w:val="22"/>
          <w:szCs w:val="22"/>
        </w:rPr>
        <w:t>Museologie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t xml:space="preserve">oder </w:t>
      </w:r>
      <w:r>
        <w:rPr>
          <w:rFonts w:ascii="Arial" w:eastAsia="Arial" w:hAnsi="Arial" w:cs="Arial"/>
          <w:sz w:val="22"/>
          <w:szCs w:val="22"/>
        </w:rPr>
        <w:t xml:space="preserve">vergleichbare Qualifikation </w:t>
      </w:r>
    </w:p>
    <w:p w:rsidR="00C64424" w:rsidRDefault="007F5955">
      <w:pPr>
        <w:numPr>
          <w:ilvl w:val="1"/>
          <w:numId w:val="5"/>
        </w:numPr>
        <w:ind w:hanging="23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*Willkommen sind auch Bewerbungen von Personen, die nicht über die geforderte formale Qualifikation verfügen, jedoch aufgrund gleichwertiger Fähigkeiten und ihrer beruflichen </w:t>
      </w:r>
      <w:r>
        <w:rPr>
          <w:rFonts w:ascii="Arial" w:eastAsia="Arial" w:hAnsi="Arial" w:cs="Arial"/>
          <w:sz w:val="22"/>
          <w:szCs w:val="22"/>
        </w:rPr>
        <w:t>Erfahrung entsprechende Tätigkeiten erfolgreich ausgeübt haben. Hierbei finden die Eingruppierungsrichtlinien des TVöD Anwendung</w:t>
      </w:r>
    </w:p>
    <w:p w:rsidR="00C64424" w:rsidRDefault="007F5955">
      <w:pPr>
        <w:numPr>
          <w:ilvl w:val="0"/>
          <w:numId w:val="5"/>
        </w:numPr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Sehr gute Deutschkenntnisse in Wort und Schrift</w:t>
      </w:r>
    </w:p>
    <w:p w:rsidR="00C64424" w:rsidRDefault="007F5955">
      <w:pPr>
        <w:numPr>
          <w:ilvl w:val="0"/>
          <w:numId w:val="5"/>
        </w:numPr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anwendungsbereite Kenntnisse zu </w:t>
      </w:r>
      <w:proofErr w:type="spellStart"/>
      <w:r>
        <w:rPr>
          <w:rFonts w:ascii="Arial" w:eastAsia="Arial" w:hAnsi="Arial" w:cs="Arial"/>
          <w:sz w:val="22"/>
          <w:szCs w:val="22"/>
        </w:rPr>
        <w:t>Museologie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bzw. Museumsmanagement</w:t>
      </w:r>
    </w:p>
    <w:p w:rsidR="00C64424" w:rsidRDefault="007F5955">
      <w:pPr>
        <w:numPr>
          <w:ilvl w:val="0"/>
          <w:numId w:val="5"/>
        </w:numPr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umfassende Ke</w:t>
      </w:r>
      <w:r>
        <w:rPr>
          <w:rFonts w:ascii="Arial" w:eastAsia="Arial" w:hAnsi="Arial" w:cs="Arial"/>
          <w:sz w:val="22"/>
          <w:szCs w:val="22"/>
        </w:rPr>
        <w:t>nntnisse und Erfahrungen im Umgang mit Archivierungsprogrammen und Datenbanken (AUGIAS)</w:t>
      </w:r>
    </w:p>
    <w:p w:rsidR="00C64424" w:rsidRDefault="007F5955">
      <w:pPr>
        <w:numPr>
          <w:ilvl w:val="0"/>
          <w:numId w:val="5"/>
        </w:numPr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sicherer Umgang mit MS Office sowie mit gängigen Graphikprogrammen</w:t>
      </w:r>
    </w:p>
    <w:p w:rsidR="00C64424" w:rsidRDefault="007F5955">
      <w:pPr>
        <w:numPr>
          <w:ilvl w:val="0"/>
          <w:numId w:val="5"/>
        </w:numPr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praktische Erfahrung im Bereich Museumsführungen oder museumspädagogischen Aktionen</w:t>
      </w:r>
    </w:p>
    <w:p w:rsidR="00C64424" w:rsidRDefault="007F5955">
      <w:pPr>
        <w:numPr>
          <w:ilvl w:val="0"/>
          <w:numId w:val="5"/>
        </w:numPr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praktische </w:t>
      </w:r>
      <w:r>
        <w:rPr>
          <w:rFonts w:ascii="Arial" w:eastAsia="Arial" w:hAnsi="Arial" w:cs="Arial"/>
          <w:sz w:val="22"/>
          <w:szCs w:val="22"/>
        </w:rPr>
        <w:t>Erfahrung mit Redaktion wissenschaftlicher Texte</w:t>
      </w:r>
    </w:p>
    <w:p w:rsidR="00C64424" w:rsidRDefault="007F5955">
      <w:pPr>
        <w:numPr>
          <w:ilvl w:val="0"/>
          <w:numId w:val="5"/>
        </w:numPr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Interesse an Regional-/ Stadt-/ und Sammlungsgeschichte</w:t>
      </w:r>
    </w:p>
    <w:p w:rsidR="00C64424" w:rsidRDefault="007F5955">
      <w:pPr>
        <w:numPr>
          <w:ilvl w:val="0"/>
          <w:numId w:val="5"/>
        </w:numPr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selbstständige, sorgfältige und verantwortungsvolle Arbeitsweise</w:t>
      </w:r>
    </w:p>
    <w:p w:rsidR="00C64424" w:rsidRDefault="007F5955">
      <w:pPr>
        <w:numPr>
          <w:ilvl w:val="0"/>
          <w:numId w:val="5"/>
        </w:numPr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Kommunikationsstärke und sicherer Umgang mit Besuchern und Anfragen</w:t>
      </w:r>
    </w:p>
    <w:p w:rsidR="00C64424" w:rsidRDefault="007F5955">
      <w:pPr>
        <w:numPr>
          <w:ilvl w:val="0"/>
          <w:numId w:val="5"/>
        </w:numPr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Bereitschaft zur A</w:t>
      </w:r>
      <w:r>
        <w:rPr>
          <w:rFonts w:ascii="Arial" w:eastAsia="Arial" w:hAnsi="Arial" w:cs="Arial"/>
          <w:sz w:val="22"/>
          <w:szCs w:val="22"/>
        </w:rPr>
        <w:t>rbeit an Sonn- und Feiertagen</w:t>
      </w:r>
    </w:p>
    <w:p w:rsidR="00C64424" w:rsidRDefault="007F5955">
      <w:pPr>
        <w:numPr>
          <w:ilvl w:val="0"/>
          <w:numId w:val="5"/>
        </w:numPr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Belastbarkeit, Flexibilität, Zuverlässigkeit sowie Engagement</w:t>
      </w:r>
    </w:p>
    <w:p w:rsidR="00C64424" w:rsidRDefault="007F5955">
      <w:pPr>
        <w:numPr>
          <w:ilvl w:val="0"/>
          <w:numId w:val="5"/>
        </w:numPr>
        <w:spacing w:after="180"/>
        <w:ind w:hanging="1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Bereitschaft zur Weiterbildung und Qualifizierung</w:t>
      </w:r>
    </w:p>
    <w:p w:rsidR="00C64424" w:rsidRDefault="00C64424">
      <w:pPr>
        <w:jc w:val="both"/>
        <w:rPr>
          <w:rFonts w:ascii="Helvetica" w:eastAsia="Helvetica" w:hAnsi="Helvetica" w:cs="Helvetica"/>
          <w:sz w:val="22"/>
          <w:szCs w:val="22"/>
        </w:rPr>
      </w:pPr>
    </w:p>
    <w:p w:rsidR="00C64424" w:rsidRDefault="007F5955">
      <w:pPr>
        <w:jc w:val="both"/>
        <w:rPr>
          <w:rFonts w:ascii="Helvetica" w:eastAsia="Helvetica" w:hAnsi="Helvetica" w:cs="Helvetica"/>
          <w:sz w:val="22"/>
          <w:szCs w:val="22"/>
        </w:rPr>
      </w:pPr>
      <w:r>
        <w:rPr>
          <w:rFonts w:ascii="Arial" w:eastAsia="Arial" w:hAnsi="Arial" w:cs="Arial"/>
          <w:b/>
          <w:bCs/>
          <w:color w:val="D60D47"/>
          <w:sz w:val="22"/>
          <w:szCs w:val="22"/>
          <w:u w:val="single"/>
        </w:rPr>
        <w:t>Wir bieten Ihnen:</w:t>
      </w:r>
    </w:p>
    <w:p w:rsidR="00C64424" w:rsidRDefault="007F5955">
      <w:pPr>
        <w:numPr>
          <w:ilvl w:val="0"/>
          <w:numId w:val="6"/>
        </w:numPr>
        <w:ind w:left="0" w:hanging="17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D60D47"/>
          <w:sz w:val="22"/>
          <w:szCs w:val="22"/>
        </w:rPr>
        <w:t>Moderne und einladende Arbeitsumgebung -</w:t>
      </w:r>
      <w:r>
        <w:rPr>
          <w:rFonts w:ascii="Arial" w:eastAsia="Arial" w:hAnsi="Arial" w:cs="Arial"/>
          <w:b/>
          <w:bCs/>
          <w:color w:val="3323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Freuen Sie sich auf attraktive und freundliche Arbeits</w:t>
      </w:r>
      <w:r>
        <w:rPr>
          <w:rFonts w:ascii="Arial" w:eastAsia="Arial" w:hAnsi="Arial" w:cs="Arial"/>
          <w:color w:val="000000"/>
          <w:sz w:val="22"/>
          <w:szCs w:val="22"/>
        </w:rPr>
        <w:t>bedingungen, die zum Wohlfühlen einladen.</w:t>
      </w:r>
    </w:p>
    <w:p w:rsidR="00C64424" w:rsidRDefault="007F5955">
      <w:pPr>
        <w:numPr>
          <w:ilvl w:val="0"/>
          <w:numId w:val="6"/>
        </w:numPr>
        <w:ind w:left="0" w:hanging="17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D60D47"/>
          <w:sz w:val="22"/>
          <w:szCs w:val="22"/>
        </w:rPr>
        <w:t>Verantwortungsvolle Aufgaben in einem engagierten Team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Übernehmen Sie spannende Tätigkeiten in einem funktionierenden und unterstützenden Umfeld.</w:t>
      </w:r>
    </w:p>
    <w:p w:rsidR="00C64424" w:rsidRDefault="007F5955">
      <w:pPr>
        <w:numPr>
          <w:ilvl w:val="0"/>
          <w:numId w:val="6"/>
        </w:numPr>
        <w:ind w:left="0" w:hanging="17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D60D47"/>
          <w:sz w:val="22"/>
          <w:szCs w:val="22"/>
        </w:rPr>
        <w:t xml:space="preserve">Umfassende Einarbeitung - </w:t>
      </w:r>
      <w:r>
        <w:rPr>
          <w:rFonts w:ascii="Arial" w:eastAsia="Arial" w:hAnsi="Arial" w:cs="Arial"/>
          <w:color w:val="000000"/>
          <w:sz w:val="22"/>
          <w:szCs w:val="22"/>
        </w:rPr>
        <w:t>Wir sorgen für eine fachkundige und indi</w:t>
      </w:r>
      <w:r>
        <w:rPr>
          <w:rFonts w:ascii="Arial" w:eastAsia="Arial" w:hAnsi="Arial" w:cs="Arial"/>
          <w:color w:val="000000"/>
          <w:sz w:val="22"/>
          <w:szCs w:val="22"/>
        </w:rPr>
        <w:t>viduelle Einarbeitung, damit Sie bestens starten können.</w:t>
      </w:r>
    </w:p>
    <w:p w:rsidR="00C64424" w:rsidRDefault="007F5955">
      <w:pPr>
        <w:numPr>
          <w:ilvl w:val="0"/>
          <w:numId w:val="6"/>
        </w:numPr>
        <w:ind w:left="0" w:hanging="17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D60D47"/>
          <w:sz w:val="22"/>
          <w:szCs w:val="22"/>
        </w:rPr>
        <w:t>Gesundheitsförderung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Profitieren Sie von betrieblichen Maßnahmen zur Gesundheitsförderung.</w:t>
      </w:r>
    </w:p>
    <w:p w:rsidR="00C64424" w:rsidRDefault="007F5955">
      <w:pPr>
        <w:numPr>
          <w:ilvl w:val="0"/>
          <w:numId w:val="6"/>
        </w:numPr>
        <w:ind w:left="0" w:hanging="17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D60D47"/>
          <w:sz w:val="22"/>
          <w:szCs w:val="22"/>
        </w:rPr>
        <w:t>Altersvorsorge -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Wir unterstützen Ihre Zukunft mit einer betrieblichen Altersvorsorge.</w:t>
      </w:r>
    </w:p>
    <w:p w:rsidR="00C64424" w:rsidRDefault="007F5955">
      <w:pPr>
        <w:numPr>
          <w:ilvl w:val="0"/>
          <w:numId w:val="6"/>
        </w:numPr>
        <w:ind w:left="0" w:hanging="17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D60D47"/>
          <w:sz w:val="22"/>
          <w:szCs w:val="22"/>
        </w:rPr>
        <w:t xml:space="preserve">Attraktive </w:t>
      </w:r>
      <w:r>
        <w:rPr>
          <w:rFonts w:ascii="Arial" w:eastAsia="Arial" w:hAnsi="Arial" w:cs="Arial"/>
          <w:b/>
          <w:bCs/>
          <w:color w:val="D60D47"/>
          <w:sz w:val="22"/>
          <w:szCs w:val="22"/>
        </w:rPr>
        <w:t>Vergütung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Neben dem Entgelt erhalten Sie alle tariflichen Leistungen wie Jahressonderzahlung, leistungsorientierte Prämien, Urlaub und mehr – alles nach dem Tarifvertrag für den öffentlichen Dienst (TVöD).</w:t>
      </w:r>
    </w:p>
    <w:p w:rsidR="00C64424" w:rsidRDefault="007F5955">
      <w:pPr>
        <w:numPr>
          <w:ilvl w:val="0"/>
          <w:numId w:val="6"/>
        </w:numPr>
        <w:ind w:left="0" w:hanging="17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D60D47"/>
          <w:sz w:val="22"/>
          <w:szCs w:val="22"/>
        </w:rPr>
        <w:t>Weiterbildung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Wir fördern Ihre persönliche und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fachliche Entwicklung durch vielfältige Fortbildungsmöglichkeiten, z.B. über LinkedIn Learning, Fachworkshops oder Messen.</w:t>
      </w:r>
    </w:p>
    <w:p w:rsidR="00C64424" w:rsidRDefault="007F5955">
      <w:pPr>
        <w:numPr>
          <w:ilvl w:val="0"/>
          <w:numId w:val="6"/>
        </w:numPr>
        <w:ind w:left="0" w:hanging="17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D60D47"/>
          <w:sz w:val="22"/>
          <w:szCs w:val="22"/>
        </w:rPr>
        <w:t>Innovative Arbeitsumgebung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Arbeiten Sie mit modernster Technik und leistungsstarkem Equipment, das Sie bei Ihrer täglichen Arbeit </w:t>
      </w:r>
      <w:r>
        <w:rPr>
          <w:rFonts w:ascii="Arial" w:eastAsia="Arial" w:hAnsi="Arial" w:cs="Arial"/>
          <w:color w:val="000000"/>
          <w:sz w:val="22"/>
          <w:szCs w:val="22"/>
        </w:rPr>
        <w:t>unterstützt.</w:t>
      </w:r>
    </w:p>
    <w:p w:rsidR="00C64424" w:rsidRDefault="00C64424">
      <w:pPr>
        <w:spacing w:before="180" w:after="180"/>
        <w:rPr>
          <w:rFonts w:ascii="Helvetica" w:eastAsia="Helvetica" w:hAnsi="Helvetica" w:cs="Helvetica"/>
          <w:sz w:val="18"/>
          <w:szCs w:val="18"/>
        </w:rPr>
      </w:pPr>
    </w:p>
    <w:p w:rsidR="00C64424" w:rsidRDefault="007F5955">
      <w:pPr>
        <w:spacing w:before="180" w:after="180"/>
        <w:rPr>
          <w:rFonts w:ascii="Helvetica" w:eastAsia="Helvetica" w:hAnsi="Helvetica" w:cs="Helvetica"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Die Stadt Halberstadt steht für Gleichstellung, Chancengleichheit und Antidiskriminierung, auch bei der Personalgewinnung. Schwerbehinderte und gleichgestellte Bewerber/innen werden bei gleicher Eignung, Befähigung und fachlicher Leistung </w:t>
      </w:r>
      <w:r>
        <w:rPr>
          <w:rFonts w:ascii="Arial" w:eastAsia="Arial" w:hAnsi="Arial" w:cs="Arial"/>
          <w:sz w:val="22"/>
          <w:szCs w:val="22"/>
        </w:rPr>
        <w:t>bevorzugt berücksichtigt.</w:t>
      </w:r>
    </w:p>
    <w:p w:rsidR="00C64424" w:rsidRDefault="007F5955">
      <w:pPr>
        <w:spacing w:before="180" w:after="180"/>
        <w:rPr>
          <w:rFonts w:ascii="Helvetica" w:eastAsia="Helvetica" w:hAnsi="Helvetica" w:cs="Helvetica"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>Bei im Ausland erworbenen Bildungsabschlüssen bitten wir um Übersendung entsprechender Nachweise über die Gleichwertigkeit mit einem deutschen Abschluss. Nähere Informationen hierzu erhalten Sie auf der Internetseite der Zentralst</w:t>
      </w:r>
      <w:r>
        <w:rPr>
          <w:rFonts w:ascii="Arial" w:eastAsia="Arial" w:hAnsi="Arial" w:cs="Arial"/>
          <w:sz w:val="22"/>
          <w:szCs w:val="22"/>
        </w:rPr>
        <w:t>elle für ausländisches Bildungswesen (ZAB) unter www.kmk.org/zab. Bitte weisen Sie uns Sprachniveau C1 in deutscher Sprache nach.</w:t>
      </w:r>
    </w:p>
    <w:p w:rsidR="00C64424" w:rsidRDefault="007F5955">
      <w:pPr>
        <w:spacing w:before="180" w:after="180"/>
        <w:rPr>
          <w:rFonts w:ascii="Helvetica" w:eastAsia="Helvetica" w:hAnsi="Helvetica" w:cs="Helvetica"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>Bei Einstellungen der Gemeinde können Mitglieder im Einsatzdienst der Feuerwehr dieser Gemeinde nach § 9 Abs. 5 Brandschutzges</w:t>
      </w:r>
      <w:r>
        <w:rPr>
          <w:rFonts w:ascii="Arial" w:eastAsia="Arial" w:hAnsi="Arial" w:cs="Arial"/>
          <w:sz w:val="22"/>
          <w:szCs w:val="22"/>
        </w:rPr>
        <w:t>etz Land Sachsen-Anhalt (hier Mitglieder der Freiwilligen Feuerwehr) bei gleicher Eignung, Befähigung und fachlicher Leistung bevorzugt berücksichtigt werden, wenn nicht andere rechtlich schützenswerte Gründe überwiegen, die in der Person eines anderen Bew</w:t>
      </w:r>
      <w:r>
        <w:rPr>
          <w:rFonts w:ascii="Arial" w:eastAsia="Arial" w:hAnsi="Arial" w:cs="Arial"/>
          <w:sz w:val="22"/>
          <w:szCs w:val="22"/>
        </w:rPr>
        <w:t>erbers liegen.</w:t>
      </w:r>
    </w:p>
    <w:p w:rsidR="00C64424" w:rsidRDefault="007F5955">
      <w:pPr>
        <w:spacing w:before="180" w:after="180"/>
        <w:rPr>
          <w:rFonts w:ascii="Helvetica" w:eastAsia="Helvetica" w:hAnsi="Helvetica" w:cs="Helvetica"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>Die Tätigkeiten sind grundsätzlich in Vollbeschäftigung zu leisten. Eine Teilzeitbeschäftigung ist auch möglich.</w:t>
      </w:r>
    </w:p>
    <w:p w:rsidR="00C64424" w:rsidRDefault="007F5955">
      <w:pPr>
        <w:spacing w:before="180" w:after="180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b/>
          <w:bCs/>
          <w:color w:val="D60D47"/>
          <w:sz w:val="34"/>
          <w:szCs w:val="34"/>
        </w:rPr>
        <w:t>Ihre Zukunft beginnt jetzt - bewerben Sie sich!</w:t>
      </w:r>
    </w:p>
    <w:p w:rsidR="00C64424" w:rsidRDefault="007F5955">
      <w:pPr>
        <w:spacing w:before="180" w:after="180"/>
        <w:rPr>
          <w:rFonts w:ascii="Helvetica" w:eastAsia="Helvetica" w:hAnsi="Helvetica" w:cs="Helvetica"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>Bitte nutzen Sie dafür unser Bewerbungsportal.</w:t>
      </w:r>
    </w:p>
    <w:p w:rsidR="00C64424" w:rsidRDefault="00C64424">
      <w:pPr>
        <w:spacing w:before="180" w:after="180"/>
        <w:rPr>
          <w:rFonts w:ascii="Helvetica" w:eastAsia="Helvetica" w:hAnsi="Helvetica" w:cs="Helvetica"/>
          <w:sz w:val="18"/>
          <w:szCs w:val="18"/>
        </w:rPr>
      </w:pPr>
    </w:p>
    <w:p w:rsidR="00C64424" w:rsidRDefault="007F5955">
      <w:pPr>
        <w:spacing w:before="180" w:after="180"/>
        <w:rPr>
          <w:rFonts w:ascii="Helvetica" w:eastAsia="Helvetica" w:hAnsi="Helvetica" w:cs="Helvetica"/>
          <w:sz w:val="18"/>
          <w:szCs w:val="18"/>
        </w:rPr>
      </w:pPr>
      <w:r>
        <w:rPr>
          <w:rFonts w:ascii="Arial" w:eastAsia="Arial" w:hAnsi="Arial" w:cs="Arial"/>
          <w:sz w:val="22"/>
          <w:szCs w:val="22"/>
          <w:u w:val="single"/>
        </w:rPr>
        <w:t>Hinweis zur postalischen Einreic</w:t>
      </w:r>
      <w:r>
        <w:rPr>
          <w:rFonts w:ascii="Arial" w:eastAsia="Arial" w:hAnsi="Arial" w:cs="Arial"/>
          <w:sz w:val="22"/>
          <w:szCs w:val="22"/>
          <w:u w:val="single"/>
        </w:rPr>
        <w:t>hung:</w:t>
      </w:r>
    </w:p>
    <w:p w:rsidR="00C64424" w:rsidRDefault="007F5955">
      <w:pPr>
        <w:spacing w:before="180" w:after="180"/>
        <w:rPr>
          <w:rFonts w:ascii="Helvetica" w:eastAsia="Helvetica" w:hAnsi="Helvetica" w:cs="Helvetica"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 xml:space="preserve">Wir bitten als Bewerbungsunterlagen ausschließlich Fotokopien zu verwenden und auf aufwendige Bewerbungsmappen, Klarsichthüllen etc. zu verzichten. Bitte beachten Sie, dass nur vollständige Bewerbungsunterlagen (aussagekräftiges und unterschriebenes </w:t>
      </w:r>
      <w:r>
        <w:rPr>
          <w:rFonts w:ascii="Arial" w:eastAsia="Arial" w:hAnsi="Arial" w:cs="Arial"/>
          <w:sz w:val="22"/>
          <w:szCs w:val="22"/>
        </w:rPr>
        <w:t xml:space="preserve">Anschreiben, Lebenslauf, Nachweis geforderter Abschluss, ggf. Arbeitszeugnisse) in das Auswahlverfahren einbezogen werden. </w:t>
      </w:r>
    </w:p>
    <w:p w:rsidR="00C64424" w:rsidRDefault="007F5955">
      <w:pPr>
        <w:spacing w:before="180" w:after="180"/>
        <w:rPr>
          <w:rFonts w:ascii="Helvetica" w:eastAsia="Helvetica" w:hAnsi="Helvetica" w:cs="Helvetica"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>Unterlagen werden nur zurückgesandt, wenn ein ausreichend frankierter Rückumschlag bei-gefügt ist. Ansonsten werden die Unterlagen v</w:t>
      </w:r>
      <w:r>
        <w:rPr>
          <w:rFonts w:ascii="Arial" w:eastAsia="Arial" w:hAnsi="Arial" w:cs="Arial"/>
          <w:sz w:val="22"/>
          <w:szCs w:val="22"/>
        </w:rPr>
        <w:t>on nicht berücksichtigten Bewerbern/innen nach Ablauf von 6 Monaten nach Bewerbungsschluss vernichtet. Bewerbungskosten werden nicht erstattet. Wir weisen darauf hin, dass bei Abgabe einer E-Mail-Adresse alle Benachrichtigungen über diesen Weg erfolgen.</w:t>
      </w:r>
    </w:p>
    <w:p w:rsidR="00C64424" w:rsidRDefault="007F5955">
      <w:pPr>
        <w:spacing w:before="180" w:after="180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b/>
          <w:bCs/>
          <w:color w:val="D60D47"/>
          <w:sz w:val="22"/>
          <w:szCs w:val="22"/>
        </w:rPr>
        <w:t>Si</w:t>
      </w:r>
      <w:r>
        <w:rPr>
          <w:rFonts w:ascii="Helvetica" w:eastAsia="Helvetica" w:hAnsi="Helvetica" w:cs="Helvetica"/>
          <w:b/>
          <w:bCs/>
          <w:color w:val="D60D47"/>
          <w:sz w:val="22"/>
          <w:szCs w:val="22"/>
        </w:rPr>
        <w:t>e haben noch Fragen?</w:t>
      </w: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0"/>
        <w:gridCol w:w="3740"/>
      </w:tblGrid>
      <w:tr w:rsidR="00C64424">
        <w:trPr>
          <w:trHeight w:val="178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424" w:rsidRDefault="007F5955">
            <w:pPr>
              <w:rPr>
                <w:rFonts w:ascii="Helvetica" w:eastAsia="Helvetica" w:hAnsi="Helvetica" w:cs="Helvetica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D60D47"/>
                <w:sz w:val="22"/>
                <w:szCs w:val="22"/>
                <w:u w:val="single"/>
              </w:rPr>
              <w:t>Fachliche Fragen:</w:t>
            </w:r>
            <w:r>
              <w:rPr>
                <w:rFonts w:ascii="Arial" w:eastAsia="Arial" w:hAnsi="Arial" w:cs="Arial"/>
                <w:b/>
                <w:bCs/>
                <w:color w:val="D60D47"/>
                <w:sz w:val="22"/>
                <w:szCs w:val="22"/>
                <w:u w:val="single"/>
              </w:rPr>
              <w:br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Frau Dr.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Gornig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Abteilungsleitung Städtisches Museum, Archive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br/>
              <w:t>Tel.: 03941 55 1470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br/>
              <w:t>E-Mail: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Antje.gornig@halberstadt.de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424" w:rsidRDefault="007F5955">
            <w:pPr>
              <w:rPr>
                <w:rFonts w:ascii="Helvetica" w:eastAsia="Helvetica" w:hAnsi="Helvetica" w:cs="Helvetica"/>
                <w:color w:val="000000"/>
              </w:rPr>
            </w:pPr>
            <w:r>
              <w:rPr>
                <w:rFonts w:ascii="Helvetica" w:eastAsia="Helvetica" w:hAnsi="Helvetica" w:cs="Helvetica"/>
                <w:b/>
                <w:bCs/>
                <w:color w:val="D60D47"/>
                <w:sz w:val="22"/>
                <w:szCs w:val="22"/>
                <w:u w:val="single"/>
              </w:rPr>
              <w:t>Fragen zum Bewerbungsprozess:</w:t>
            </w:r>
            <w:r>
              <w:rPr>
                <w:rFonts w:ascii="Helvetica" w:eastAsia="Helvetica" w:hAnsi="Helvetica" w:cs="Helvetica"/>
                <w:b/>
                <w:bCs/>
                <w:color w:val="D60D47"/>
                <w:sz w:val="22"/>
                <w:szCs w:val="22"/>
                <w:u w:val="single"/>
              </w:rPr>
              <w:br/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Frau Schmieder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br/>
              <w:t>Abteilungsleitung Personal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br/>
              <w:t>Tel.: 03941 55 1120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br/>
              <w:t>E-Mail: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 xml:space="preserve"> schmiederk@halberstadt.de</w:t>
            </w:r>
          </w:p>
        </w:tc>
      </w:tr>
    </w:tbl>
    <w:p w:rsidR="00C64424" w:rsidRDefault="00C64424">
      <w:pPr>
        <w:spacing w:before="180" w:after="180"/>
        <w:rPr>
          <w:rFonts w:ascii="Helvetica" w:eastAsia="Helvetica" w:hAnsi="Helvetica" w:cs="Helvetica"/>
          <w:sz w:val="18"/>
          <w:szCs w:val="18"/>
        </w:rPr>
      </w:pPr>
      <w:bookmarkStart w:id="0" w:name="_GoBack"/>
      <w:bookmarkEnd w:id="0"/>
    </w:p>
    <w:p w:rsidR="00A77B3E" w:rsidRDefault="007F5955"/>
    <w:sectPr w:rsidR="00A77B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5F3A9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2A641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D4F1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1289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1460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2E93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1DA8A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F42C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3C67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51AA7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8F448A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07C10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B601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1E9C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BE42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0241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6806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02E3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3A4AD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978DF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F5EB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D42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6EF1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D474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C6A3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987D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485F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6D0166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6F185D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DC76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8847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9808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7C88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DAC6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9450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FA2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D442EBC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49B293E0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6EECDBCE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/>
      </w:rPr>
    </w:lvl>
    <w:lvl w:ilvl="3" w:tplc="F338460E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/>
      </w:rPr>
    </w:lvl>
    <w:lvl w:ilvl="4" w:tplc="F2D694B2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/>
      </w:rPr>
    </w:lvl>
    <w:lvl w:ilvl="5" w:tplc="DEB458BA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/>
      </w:rPr>
    </w:lvl>
    <w:lvl w:ilvl="6" w:tplc="5D028054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/>
      </w:rPr>
    </w:lvl>
    <w:lvl w:ilvl="7" w:tplc="9572B266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/>
      </w:rPr>
    </w:lvl>
    <w:lvl w:ilvl="8" w:tplc="7AA80B8A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CA0E0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8A1A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78F6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B056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125A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8E2F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50FA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1CC4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0684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24"/>
    <w:rsid w:val="00442794"/>
    <w:rsid w:val="007F5955"/>
    <w:rsid w:val="00C6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41ED4B-7543-470F-8E35-77EAB94E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linktr.ee/Stadthalberstadt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7063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 eCulture</dc:creator>
  <cp:lastModifiedBy>SHK eCulture</cp:lastModifiedBy>
  <cp:revision>2</cp:revision>
  <dcterms:created xsi:type="dcterms:W3CDTF">2026-05-15T09:49:00Z</dcterms:created>
  <dcterms:modified xsi:type="dcterms:W3CDTF">2026-05-15T09:49:00Z</dcterms:modified>
</cp:coreProperties>
</file>